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6A" w:rsidRDefault="00A46C6A" w:rsidP="00A46C6A">
      <w:pPr>
        <w:pStyle w:val="m1204387661527553858xmsonormal"/>
        <w:shd w:val="clear" w:color="auto" w:fill="FFFFFF"/>
        <w:spacing w:before="0" w:beforeAutospacing="0" w:after="0" w:afterAutospacing="0"/>
        <w:jc w:val="center"/>
        <w:rPr>
          <w:rFonts w:ascii="Calibri" w:hAnsi="Calibri" w:cs="Calibri"/>
          <w:color w:val="222222"/>
          <w:sz w:val="22"/>
          <w:szCs w:val="22"/>
        </w:rPr>
      </w:pP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222222"/>
        </w:rPr>
        <w:t>Pediatric Cardiology (Electrophysiologist and Advanced Imaging) Faculty Positions</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bookmarkStart w:id="0" w:name="_GoBack"/>
      <w:bookmarkEnd w:id="0"/>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The Division of Pediatric Cardiology in the Department of Pediatrics, at the Medical College of Georgia at Augusta University is seeking a </w:t>
      </w:r>
      <w:r>
        <w:rPr>
          <w:rFonts w:ascii="Calibri" w:hAnsi="Calibri" w:cs="Calibri"/>
          <w:b/>
          <w:bCs/>
          <w:color w:val="222222"/>
        </w:rPr>
        <w:t>Pediatric Electrophysiologist</w:t>
      </w:r>
      <w:r>
        <w:rPr>
          <w:rFonts w:ascii="Calibri" w:hAnsi="Calibri" w:cs="Calibri"/>
          <w:color w:val="222222"/>
        </w:rPr>
        <w:t> to join our Division. The candidate must be board-eligible</w:t>
      </w:r>
      <w:r>
        <w:rPr>
          <w:rFonts w:ascii="Calibri" w:hAnsi="Calibri" w:cs="Calibri"/>
          <w:color w:val="222222"/>
          <w:sz w:val="22"/>
          <w:szCs w:val="22"/>
        </w:rPr>
        <w:t> or certified</w:t>
      </w:r>
      <w:r>
        <w:rPr>
          <w:rFonts w:ascii="Calibri" w:hAnsi="Calibri" w:cs="Calibri"/>
          <w:color w:val="222222"/>
        </w:rPr>
        <w:t> in Pediatric Cardiology by t</w:t>
      </w:r>
      <w:r>
        <w:rPr>
          <w:rFonts w:ascii="Calibri" w:hAnsi="Calibri" w:cs="Calibri"/>
          <w:color w:val="222222"/>
          <w:sz w:val="22"/>
          <w:szCs w:val="22"/>
        </w:rPr>
        <w:t>he American Board of Pediatrics and</w:t>
      </w:r>
      <w:r>
        <w:rPr>
          <w:rFonts w:ascii="Calibri" w:hAnsi="Calibri" w:cs="Calibri"/>
          <w:color w:val="222222"/>
        </w:rPr>
        <w:t> have a fourth year of additional training in pediatric cardiac electrophysiology.</w:t>
      </w:r>
      <w:r>
        <w:rPr>
          <w:rFonts w:ascii="Calibri" w:hAnsi="Calibri" w:cs="Calibri"/>
          <w:color w:val="222222"/>
          <w:sz w:val="22"/>
          <w:szCs w:val="22"/>
        </w:rPr>
        <w:t> An experienced candidate with leadership skills is desirable, to work in concert with the Division Chief in program development.  We are also seeking a Pediatric Cardiologist with additional training in </w:t>
      </w:r>
      <w:r>
        <w:rPr>
          <w:rFonts w:ascii="Calibri" w:hAnsi="Calibri" w:cs="Calibri"/>
          <w:b/>
          <w:bCs/>
          <w:color w:val="222222"/>
          <w:sz w:val="22"/>
          <w:szCs w:val="22"/>
        </w:rPr>
        <w:t>Advanced Imaging</w:t>
      </w:r>
      <w:r>
        <w:rPr>
          <w:rFonts w:ascii="Calibri" w:hAnsi="Calibri" w:cs="Calibri"/>
          <w:color w:val="222222"/>
          <w:sz w:val="22"/>
          <w:szCs w:val="22"/>
        </w:rPr>
        <w:t> to join our Division. The candidate must be board-eligible or certified in Pediatric Cardiology by the American Board of Pediatrics and have a fourth year of additional training in pediatric cardiac advanced imaging. An experienced candidate is desirable, but appropriately trained candidates at all levels will be considered.</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We are the region’s only pediatric cardiologists and work side-by-side with colleagues in NICU, PICU and congenital cardiothoracic surgery as components in a growing comprehensive congenital cardiac program. The cardiac surgery program is moderate in size, and continues to grow since the arrival of our surgeon in 2014. All procedures, simple and complex are performed in our center. The institution has begun the process of recruiting of a second congenital cardiothoracic surgeon.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Our program currently includes four ABP board-certified pediatric cardiologists with future expansion plans including the addition of two more pediatric cardiologists. This is a thriving practice, and we care for a wide variety of pediatric cardiac patients in both the outpatient and inpatient settings. Our echocardiography laboratory is supported by a team of 6 certified echosonographers and is fully accredited by the IAC for pediatric, fetal and transesophageal echocardiography. We have state-of-the-art imaging equipment and utilize the current generation Siemens syngoDynamics system for archiving and reporting. Our interventional program offers all types of complex and hybrid interventions that include perventricular procedures and percutaneous pulmonary valves. We provide care to our distant patients through a long-standing outreach program in South Georgia, with plans to increase our regional footprint in the near future.</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NormalWeb"/>
        <w:shd w:val="clear" w:color="auto" w:fill="FFFFFF"/>
        <w:spacing w:before="0" w:beforeAutospacing="0" w:after="0" w:afterAutospacing="0"/>
        <w:rPr>
          <w:color w:val="222222"/>
        </w:rPr>
      </w:pPr>
      <w:r>
        <w:rPr>
          <w:rFonts w:ascii="Calibri" w:hAnsi="Calibri" w:cs="Calibri"/>
          <w:color w:val="222222"/>
        </w:rPr>
        <w:t xml:space="preserve">Augusta is Georgia’s second largest city and is home to the Masters Golf Tournament. Several annual sporting events take place in and around Augusta, including the Ironman 70.3 Augusta triathlon, the Augusta Futurity and the always exciting Augusta Southern Nationals, dubbed by those in the know as the "World's Richest Drag Boat Race." Augusta sits along the beautiful banks of the Savanah River and hosts urban living with a variety of restaurants, playhouses, concerts, a newly renovated symphony hall and just completed minor league baseball venue. The cost of living is low and lifestyle includes many opportunities for outdoor activities including equestrian, golf, fishing, kayaking, and miles of cycling and running paths. Open in July 2018, the Hull McKnight Georgia Cyber Innovation Center houses a variety of cyber-related entities, such as the Georgia Bureau of Investigation’s new cybercrime unit, and provides cyber </w:t>
      </w:r>
      <w:r>
        <w:rPr>
          <w:rFonts w:ascii="Calibri" w:hAnsi="Calibri" w:cs="Calibri"/>
          <w:color w:val="222222"/>
        </w:rPr>
        <w:lastRenderedPageBreak/>
        <w:t>research and educational opportunities for several state and local organizations, including Augusta University’s Cyber Institute and recently launched School of Computer and Cyber Sciences.</w:t>
      </w:r>
    </w:p>
    <w:p w:rsidR="00A46C6A" w:rsidRDefault="00A46C6A" w:rsidP="00A46C6A">
      <w:pPr>
        <w:pStyle w:val="NormalWeb"/>
        <w:shd w:val="clear" w:color="auto" w:fill="FFFFFF"/>
        <w:spacing w:before="0" w:beforeAutospacing="0" w:after="0" w:afterAutospacing="0"/>
        <w:rPr>
          <w:color w:val="222222"/>
        </w:rPr>
      </w:pPr>
      <w:r>
        <w:rPr>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Interested Applicants must have an MD, MD/PhD, or equivalent degree and have excellent qualifications in clinical care, education and scholarship. Salary is competitive and commensurate with experience and includes an incentive plan that rewards clinical productivity. If interested in learning more about the position, please submit a letter of interest and a current CV to:</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rPr>
        <w:t>Kenneth A. Murdison, MD FACC FSCAI</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Professor of Pediatrics</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Acting Chief, Division of Pediatric Cardiology</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Director, Pediatric Cardiology Fellowship Training Program</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Augusta University – Children’s Hospital of Georgia</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C/O:</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rPr>
        <w:t>Arman Razavipour, MBA</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Physician Recruiter</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Medical College of Georgia at Augusta University</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hyperlink r:id="rId4" w:tgtFrame="_blank" w:history="1">
        <w:r>
          <w:rPr>
            <w:rStyle w:val="Hyperlink"/>
            <w:rFonts w:ascii="Calibri" w:hAnsi="Calibri" w:cs="Calibri"/>
            <w:color w:val="1155CC"/>
          </w:rPr>
          <w:t>arazavipour@augusta.edu</w:t>
        </w:r>
      </w:hyperlink>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rsidR="00A46C6A" w:rsidRDefault="00A46C6A" w:rsidP="00A46C6A">
      <w:pPr>
        <w:pStyle w:val="m1204387661527553858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i/>
          <w:iCs/>
          <w:color w:val="222222"/>
          <w:sz w:val="22"/>
          <w:szCs w:val="22"/>
        </w:rPr>
        <w:t>Augusta University is an equal employment, equal access/equal educational opportunity and affirmative action institution.</w:t>
      </w:r>
    </w:p>
    <w:p w:rsidR="00082D24" w:rsidRDefault="00082D24"/>
    <w:sectPr w:rsidR="0008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6A"/>
    <w:rsid w:val="00082D24"/>
    <w:rsid w:val="00A46C6A"/>
    <w:rsid w:val="00F2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4BEC"/>
  <w15:chartTrackingRefBased/>
  <w15:docId w15:val="{D039ABF4-1638-4B38-B081-E2EA80A1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04387661527553858xmsonormal">
    <w:name w:val="m_1204387661527553858xmsonormal"/>
    <w:basedOn w:val="Normal"/>
    <w:rsid w:val="00A46C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04387661527553858xmsohyperlink">
    <w:name w:val="m_1204387661527553858xmsohyperlink"/>
    <w:basedOn w:val="DefaultParagraphFont"/>
    <w:rsid w:val="00A46C6A"/>
  </w:style>
  <w:style w:type="character" w:styleId="Hyperlink">
    <w:name w:val="Hyperlink"/>
    <w:basedOn w:val="DefaultParagraphFont"/>
    <w:uiPriority w:val="99"/>
    <w:semiHidden/>
    <w:unhideWhenUsed/>
    <w:rsid w:val="00A46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zavipour@augu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Attaway</dc:creator>
  <cp:keywords/>
  <dc:description/>
  <cp:lastModifiedBy>Lindsay Attaway</cp:lastModifiedBy>
  <cp:revision>2</cp:revision>
  <dcterms:created xsi:type="dcterms:W3CDTF">2019-07-24T17:24:00Z</dcterms:created>
  <dcterms:modified xsi:type="dcterms:W3CDTF">2019-07-24T17:24:00Z</dcterms:modified>
</cp:coreProperties>
</file>